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36"/>
          <w:szCs w:val="36"/>
        </w:rPr>
        <w:drawing>
          <wp:inline distB="0" distT="0" distL="0" distR="0">
            <wp:extent cx="1499870" cy="626745"/>
            <wp:effectExtent b="0" l="0" r="0" t="0"/>
            <wp:docPr descr="Text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62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SCHOOL COUNSELOR MID-YEAR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Name: </w:t>
        <w:tab/>
        <w:tab/>
        <w:tab/>
        <w:tab/>
        <w:tab/>
        <w:t xml:space="preserve">                    Date:</w:t>
      </w:r>
    </w:p>
    <w:tbl>
      <w:tblPr>
        <w:tblStyle w:val="Table1"/>
        <w:tblW w:w="8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1530"/>
        <w:gridCol w:w="1350"/>
        <w:gridCol w:w="1350"/>
        <w:tblGridChange w:id="0">
          <w:tblGrid>
            <w:gridCol w:w="4135"/>
            <w:gridCol w:w="1530"/>
            <w:gridCol w:w="1350"/>
            <w:gridCol w:w="135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Considerable Progress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Some Progress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Progress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PROGRAM FOCUS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 Vision &amp; Mission Statement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PROGRAM PLANNING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 Annual Student Outcome Goals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 Annual Administrative Conference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 Advisory Council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2.4 Calendar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2.5 Use of Time Analysis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2.6 Needs Assessments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DIRECT &amp; INDIRECT STUDENT SERVICES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 Instruction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3.2 Classroom &amp; Group Results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3.3 Counseling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3.4 Appraisal &amp; Advisement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3.5 College, Career &amp; Military Readiness (CCMR) Support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3.6 Referrals, Consultation &amp;          Collaboration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PROFESSIONAL PRACTICE &amp; RESPONSIBILITIES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 Professional Development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4.2 School Community Involvement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4.3 Leadership &amp; Advocacy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4.4 Demeanor &amp; Ethics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0"/>
        <w:gridCol w:w="5580"/>
        <w:tblGridChange w:id="0">
          <w:tblGrid>
            <w:gridCol w:w="5580"/>
            <w:gridCol w:w="5580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trHeight w:val="2303" w:hRule="atLeast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for Growth &amp; Resources Needed: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Employee Signature (Indicates Receipt) : ____________________________________            Date:__________</w:t>
        <w:tab/>
        <w:tab/>
        <w:tab/>
        <w:tab/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Appraisers’ Signatures: _____________________________________________________     Date: _________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D59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XuU4Jyt8sJ4XXEGdpPStsErrQ==">AMUW2mXe6HEPMF17lOebX1YS6VuOGkj6btEZlvvzCnA3t3Ng08DPSi/MBIeIieFiLR98n+NO3uWvj+ZbYU7DafOgOZHB1Ct58ygiGhvS7llIzrg2dYFORZQ=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2021-05-10T13:26:00Z</dcterms:created>
  <dc:creator>Dana N. Jackson</dc:creator>
</cp:coreProperties>
</file>